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41AB1" w14:textId="77777777" w:rsidR="008A6140" w:rsidRDefault="008A6140" w:rsidP="008A6140">
      <w:pPr>
        <w:ind w:left="720" w:hanging="360"/>
        <w:jc w:val="center"/>
      </w:pPr>
      <w:bookmarkStart w:id="0" w:name="_GoBack"/>
      <w:bookmarkEnd w:id="0"/>
      <w:r>
        <w:rPr>
          <w:noProof/>
        </w:rPr>
        <w:drawing>
          <wp:inline distT="0" distB="0" distL="0" distR="0" wp14:anchorId="18A9E1FF" wp14:editId="484FB9C5">
            <wp:extent cx="3286851" cy="530279"/>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2-ES.png"/>
                    <pic:cNvPicPr/>
                  </pic:nvPicPr>
                  <pic:blipFill>
                    <a:blip r:embed="rId4">
                      <a:extLst>
                        <a:ext uri="{28A0092B-C50C-407E-A947-70E740481C1C}">
                          <a14:useLocalDpi xmlns:a14="http://schemas.microsoft.com/office/drawing/2010/main" val="0"/>
                        </a:ext>
                      </a:extLst>
                    </a:blip>
                    <a:stretch>
                      <a:fillRect/>
                    </a:stretch>
                  </pic:blipFill>
                  <pic:spPr>
                    <a:xfrm>
                      <a:off x="0" y="0"/>
                      <a:ext cx="3319377" cy="535527"/>
                    </a:xfrm>
                    <a:prstGeom prst="rect">
                      <a:avLst/>
                    </a:prstGeom>
                  </pic:spPr>
                </pic:pic>
              </a:graphicData>
            </a:graphic>
          </wp:inline>
        </w:drawing>
      </w:r>
    </w:p>
    <w:p w14:paraId="2FE0C70D" w14:textId="77777777" w:rsidR="008A6140" w:rsidRDefault="008A6140" w:rsidP="008A6140">
      <w:pPr>
        <w:ind w:left="360"/>
        <w:jc w:val="center"/>
        <w:rPr>
          <w:sz w:val="20"/>
          <w:szCs w:val="20"/>
        </w:rPr>
      </w:pPr>
    </w:p>
    <w:p w14:paraId="192A8DBE" w14:textId="79FA07FC" w:rsidR="008A6140" w:rsidRPr="00F11F9C" w:rsidRDefault="008A6140" w:rsidP="004E3310">
      <w:pPr>
        <w:tabs>
          <w:tab w:val="left" w:pos="4111"/>
        </w:tabs>
        <w:spacing w:before="120"/>
        <w:jc w:val="center"/>
        <w:rPr>
          <w:b/>
          <w:sz w:val="20"/>
          <w:szCs w:val="20"/>
        </w:rPr>
      </w:pPr>
      <w:r w:rsidRPr="00494AB0">
        <w:rPr>
          <w:b/>
          <w:color w:val="0C4DA2"/>
          <w:sz w:val="48"/>
          <w:szCs w:val="48"/>
        </w:rPr>
        <w:t>Comunicado de Prensa</w:t>
      </w:r>
    </w:p>
    <w:p w14:paraId="2D4ED41D" w14:textId="5214229D" w:rsidR="0099394B" w:rsidRDefault="0099394B" w:rsidP="0099394B">
      <w:pPr>
        <w:spacing w:before="120"/>
        <w:jc w:val="center"/>
        <w:rPr>
          <w:b/>
        </w:rPr>
      </w:pPr>
      <w:r>
        <w:rPr>
          <w:b/>
        </w:rPr>
        <w:t>Bruselas</w:t>
      </w:r>
      <w:r w:rsidRPr="005E3564">
        <w:rPr>
          <w:b/>
        </w:rPr>
        <w:t xml:space="preserve"> - </w:t>
      </w:r>
      <w:r w:rsidR="000157F4">
        <w:rPr>
          <w:b/>
        </w:rPr>
        <w:t xml:space="preserve">11 </w:t>
      </w:r>
      <w:r>
        <w:rPr>
          <w:b/>
        </w:rPr>
        <w:t xml:space="preserve">de </w:t>
      </w:r>
      <w:r w:rsidR="000473F7">
        <w:rPr>
          <w:b/>
        </w:rPr>
        <w:t xml:space="preserve">marzo </w:t>
      </w:r>
      <w:r>
        <w:rPr>
          <w:b/>
        </w:rPr>
        <w:t xml:space="preserve">de </w:t>
      </w:r>
      <w:r w:rsidR="000157F4">
        <w:rPr>
          <w:b/>
        </w:rPr>
        <w:t>2024</w:t>
      </w:r>
    </w:p>
    <w:p w14:paraId="772419E4" w14:textId="0C400186" w:rsidR="008A6140" w:rsidRDefault="00494AB0" w:rsidP="0099394B">
      <w:pPr>
        <w:spacing w:before="120"/>
        <w:jc w:val="center"/>
        <w:rPr>
          <w:b/>
          <w:sz w:val="48"/>
          <w:szCs w:val="48"/>
        </w:rPr>
      </w:pPr>
      <w:r>
        <w:rPr>
          <w:b/>
          <w:sz w:val="48"/>
          <w:szCs w:val="48"/>
        </w:rPr>
        <w:t xml:space="preserve">Apertura Ventana ADELANTE </w:t>
      </w:r>
      <w:r w:rsidR="000157F4">
        <w:rPr>
          <w:b/>
          <w:sz w:val="48"/>
          <w:szCs w:val="48"/>
        </w:rPr>
        <w:t xml:space="preserve">2024 </w:t>
      </w:r>
      <w:r w:rsidR="00C82378">
        <w:rPr>
          <w:b/>
          <w:sz w:val="48"/>
          <w:szCs w:val="48"/>
        </w:rPr>
        <w:t xml:space="preserve">- </w:t>
      </w:r>
      <w:r w:rsidR="000157F4">
        <w:rPr>
          <w:b/>
          <w:sz w:val="48"/>
          <w:szCs w:val="48"/>
        </w:rPr>
        <w:t xml:space="preserve">15 </w:t>
      </w:r>
      <w:r>
        <w:rPr>
          <w:b/>
          <w:sz w:val="48"/>
          <w:szCs w:val="48"/>
        </w:rPr>
        <w:t>de abril</w:t>
      </w:r>
    </w:p>
    <w:tbl>
      <w:tblPr>
        <w:tblW w:w="5000" w:type="pct"/>
        <w:tblCellMar>
          <w:left w:w="0" w:type="dxa"/>
          <w:right w:w="0" w:type="dxa"/>
        </w:tblCellMar>
        <w:tblLook w:val="04A0" w:firstRow="1" w:lastRow="0" w:firstColumn="1" w:lastColumn="0" w:noHBand="0" w:noVBand="1"/>
      </w:tblPr>
      <w:tblGrid>
        <w:gridCol w:w="10538"/>
      </w:tblGrid>
      <w:tr w:rsidR="008A6140" w:rsidRPr="00C059D1" w14:paraId="001FF1A2" w14:textId="77777777" w:rsidTr="00A40F6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538"/>
            </w:tblGrid>
            <w:tr w:rsidR="008A6140" w:rsidRPr="00C059D1" w14:paraId="4D1069E7" w14:textId="77777777" w:rsidTr="00A40F66">
              <w:tc>
                <w:tcPr>
                  <w:tcW w:w="0" w:type="auto"/>
                  <w:tcMar>
                    <w:top w:w="0" w:type="dxa"/>
                    <w:left w:w="270" w:type="dxa"/>
                    <w:bottom w:w="135" w:type="dxa"/>
                    <w:right w:w="270" w:type="dxa"/>
                  </w:tcMar>
                  <w:hideMark/>
                </w:tcPr>
                <w:p w14:paraId="76734D6F" w14:textId="2DE0ACF2" w:rsidR="00494AB0" w:rsidRPr="00494AB0" w:rsidRDefault="00494AB0" w:rsidP="0099394B">
                  <w:pPr>
                    <w:shd w:val="clear" w:color="auto" w:fill="FFFFFF"/>
                    <w:spacing w:before="120" w:line="300" w:lineRule="atLeast"/>
                    <w:jc w:val="center"/>
                    <w:rPr>
                      <w:rFonts w:ascii="Open Sans" w:eastAsia="Times New Roman" w:hAnsi="Open Sans" w:cs="Open Sans"/>
                      <w:b/>
                      <w:bCs/>
                      <w:color w:val="7C8F9C"/>
                      <w:sz w:val="28"/>
                      <w:szCs w:val="28"/>
                      <w:lang w:eastAsia="es-ES"/>
                    </w:rPr>
                  </w:pPr>
                  <w:r w:rsidRPr="00494AB0">
                    <w:rPr>
                      <w:rFonts w:ascii="Open Sans" w:eastAsia="Times New Roman" w:hAnsi="Open Sans" w:cs="Open Sans"/>
                      <w:b/>
                      <w:bCs/>
                      <w:color w:val="7C8F9C"/>
                      <w:sz w:val="28"/>
                      <w:szCs w:val="28"/>
                      <w:lang w:eastAsia="es-ES"/>
                    </w:rPr>
                    <w:t xml:space="preserve">ADELANTE 2 anuncia que la apertura de la Ventana ADELANTE </w:t>
                  </w:r>
                  <w:r w:rsidR="000157F4" w:rsidRPr="00494AB0">
                    <w:rPr>
                      <w:rFonts w:ascii="Open Sans" w:eastAsia="Times New Roman" w:hAnsi="Open Sans" w:cs="Open Sans"/>
                      <w:b/>
                      <w:bCs/>
                      <w:color w:val="7C8F9C"/>
                      <w:sz w:val="28"/>
                      <w:szCs w:val="28"/>
                      <w:lang w:eastAsia="es-ES"/>
                    </w:rPr>
                    <w:t>202</w:t>
                  </w:r>
                  <w:r w:rsidR="000157F4">
                    <w:rPr>
                      <w:rFonts w:ascii="Open Sans" w:eastAsia="Times New Roman" w:hAnsi="Open Sans" w:cs="Open Sans"/>
                      <w:b/>
                      <w:bCs/>
                      <w:color w:val="7C8F9C"/>
                      <w:sz w:val="28"/>
                      <w:szCs w:val="28"/>
                      <w:lang w:eastAsia="es-ES"/>
                    </w:rPr>
                    <w:t>4</w:t>
                  </w:r>
                  <w:r w:rsidRPr="00494AB0">
                    <w:rPr>
                      <w:rFonts w:ascii="Open Sans" w:eastAsia="Times New Roman" w:hAnsi="Open Sans" w:cs="Open Sans"/>
                      <w:b/>
                      <w:bCs/>
                      <w:color w:val="7C8F9C"/>
                      <w:sz w:val="28"/>
                      <w:szCs w:val="28"/>
                      <w:lang w:eastAsia="es-ES"/>
                    </w:rPr>
                    <w:t xml:space="preserve">, dotada con un presupuesto de </w:t>
                  </w:r>
                  <w:r w:rsidR="000157F4">
                    <w:rPr>
                      <w:rFonts w:ascii="Open Sans" w:eastAsia="Times New Roman" w:hAnsi="Open Sans" w:cs="Open Sans"/>
                      <w:b/>
                      <w:bCs/>
                      <w:color w:val="7C8F9C"/>
                      <w:sz w:val="28"/>
                      <w:szCs w:val="28"/>
                      <w:lang w:eastAsia="es-ES"/>
                    </w:rPr>
                    <w:t>500</w:t>
                  </w:r>
                  <w:r w:rsidRPr="00494AB0">
                    <w:rPr>
                      <w:rFonts w:ascii="Open Sans" w:eastAsia="Times New Roman" w:hAnsi="Open Sans" w:cs="Open Sans"/>
                      <w:b/>
                      <w:bCs/>
                      <w:color w:val="7C8F9C"/>
                      <w:sz w:val="28"/>
                      <w:szCs w:val="28"/>
                      <w:lang w:eastAsia="es-ES"/>
                    </w:rPr>
                    <w:t>.000 euros, tendrá lugar el</w:t>
                  </w:r>
                  <w:r>
                    <w:rPr>
                      <w:rFonts w:ascii="Open Sans" w:eastAsia="Times New Roman" w:hAnsi="Open Sans" w:cs="Open Sans"/>
                      <w:b/>
                      <w:bCs/>
                      <w:color w:val="7C8F9C"/>
                      <w:sz w:val="28"/>
                      <w:szCs w:val="28"/>
                      <w:lang w:eastAsia="es-ES"/>
                    </w:rPr>
                    <w:t xml:space="preserve"> </w:t>
                  </w:r>
                  <w:r w:rsidR="00822A45">
                    <w:rPr>
                      <w:rFonts w:ascii="Open Sans" w:eastAsia="Times New Roman" w:hAnsi="Open Sans" w:cs="Open Sans"/>
                      <w:b/>
                      <w:bCs/>
                      <w:color w:val="7C8F9C"/>
                      <w:sz w:val="28"/>
                      <w:szCs w:val="28"/>
                      <w:lang w:eastAsia="es-ES"/>
                    </w:rPr>
                    <w:t>lunes</w:t>
                  </w:r>
                  <w:r w:rsidR="00822A45" w:rsidRPr="00494AB0">
                    <w:rPr>
                      <w:rFonts w:ascii="Open Sans" w:eastAsia="Times New Roman" w:hAnsi="Open Sans" w:cs="Open Sans"/>
                      <w:b/>
                      <w:bCs/>
                      <w:color w:val="7C8F9C"/>
                      <w:sz w:val="28"/>
                      <w:szCs w:val="28"/>
                      <w:lang w:eastAsia="es-ES"/>
                    </w:rPr>
                    <w:t xml:space="preserve"> </w:t>
                  </w:r>
                  <w:r w:rsidRPr="00494AB0">
                    <w:rPr>
                      <w:rFonts w:ascii="Open Sans" w:eastAsia="Times New Roman" w:hAnsi="Open Sans" w:cs="Open Sans"/>
                      <w:b/>
                      <w:bCs/>
                      <w:color w:val="7C8F9C"/>
                      <w:sz w:val="28"/>
                      <w:szCs w:val="28"/>
                      <w:lang w:eastAsia="es-ES"/>
                    </w:rPr>
                    <w:t xml:space="preserve">día </w:t>
                  </w:r>
                  <w:r w:rsidR="000157F4">
                    <w:rPr>
                      <w:rFonts w:ascii="Open Sans" w:eastAsia="Times New Roman" w:hAnsi="Open Sans" w:cs="Open Sans"/>
                      <w:b/>
                      <w:bCs/>
                      <w:color w:val="7C8F9C"/>
                      <w:sz w:val="28"/>
                      <w:szCs w:val="28"/>
                      <w:lang w:eastAsia="es-ES"/>
                    </w:rPr>
                    <w:t>15</w:t>
                  </w:r>
                  <w:r w:rsidR="000157F4" w:rsidRPr="00494AB0">
                    <w:rPr>
                      <w:rFonts w:ascii="Open Sans" w:eastAsia="Times New Roman" w:hAnsi="Open Sans" w:cs="Open Sans"/>
                      <w:b/>
                      <w:bCs/>
                      <w:color w:val="7C8F9C"/>
                      <w:sz w:val="28"/>
                      <w:szCs w:val="28"/>
                      <w:lang w:eastAsia="es-ES"/>
                    </w:rPr>
                    <w:t xml:space="preserve"> </w:t>
                  </w:r>
                  <w:r w:rsidRPr="00494AB0">
                    <w:rPr>
                      <w:rFonts w:ascii="Open Sans" w:eastAsia="Times New Roman" w:hAnsi="Open Sans" w:cs="Open Sans"/>
                      <w:b/>
                      <w:bCs/>
                      <w:color w:val="7C8F9C"/>
                      <w:sz w:val="28"/>
                      <w:szCs w:val="28"/>
                      <w:lang w:eastAsia="es-ES"/>
                    </w:rPr>
                    <w:t>de abril a las 16.00 horas (hora de Bruselas).</w:t>
                  </w:r>
                </w:p>
                <w:p w14:paraId="406EA02C" w14:textId="1F577A5C" w:rsidR="00494AB0" w:rsidRPr="00494AB0" w:rsidRDefault="00494AB0" w:rsidP="0099394B">
                  <w:pPr>
                    <w:shd w:val="clear" w:color="auto" w:fill="FFFFFF"/>
                    <w:spacing w:before="120" w:line="300" w:lineRule="atLeast"/>
                    <w:jc w:val="both"/>
                    <w:rPr>
                      <w:rFonts w:ascii="Open Sans" w:eastAsia="Times New Roman" w:hAnsi="Open Sans" w:cs="Open Sans"/>
                      <w:color w:val="7C8F9C"/>
                      <w:sz w:val="20"/>
                      <w:szCs w:val="20"/>
                      <w:lang w:eastAsia="es-ES"/>
                    </w:rPr>
                  </w:pPr>
                  <w:r w:rsidRPr="00494AB0">
                    <w:rPr>
                      <w:rFonts w:ascii="Open Sans" w:eastAsia="Times New Roman" w:hAnsi="Open Sans" w:cs="Open Sans"/>
                      <w:color w:val="7C8F9C"/>
                      <w:sz w:val="20"/>
                      <w:szCs w:val="20"/>
                      <w:lang w:eastAsia="es-ES"/>
                    </w:rPr>
                    <w:t>Tras el éxito de la</w:t>
                  </w:r>
                  <w:r w:rsidR="000473F7">
                    <w:rPr>
                      <w:rFonts w:ascii="Open Sans" w:eastAsia="Times New Roman" w:hAnsi="Open Sans" w:cs="Open Sans"/>
                      <w:color w:val="7C8F9C"/>
                      <w:sz w:val="20"/>
                      <w:szCs w:val="20"/>
                      <w:lang w:eastAsia="es-ES"/>
                    </w:rPr>
                    <w:t xml:space="preserve">s ediciones </w:t>
                  </w:r>
                  <w:r w:rsidR="00822A45">
                    <w:rPr>
                      <w:rFonts w:ascii="Open Sans" w:eastAsia="Times New Roman" w:hAnsi="Open Sans" w:cs="Open Sans"/>
                      <w:color w:val="7C8F9C"/>
                      <w:sz w:val="20"/>
                      <w:szCs w:val="20"/>
                      <w:lang w:eastAsia="es-ES"/>
                    </w:rPr>
                    <w:t>anteriores</w:t>
                  </w:r>
                  <w:r w:rsidR="000473F7">
                    <w:rPr>
                      <w:rFonts w:ascii="Open Sans" w:eastAsia="Times New Roman" w:hAnsi="Open Sans" w:cs="Open Sans"/>
                      <w:color w:val="7C8F9C"/>
                      <w:sz w:val="20"/>
                      <w:szCs w:val="20"/>
                      <w:lang w:eastAsia="es-ES"/>
                    </w:rPr>
                    <w:t xml:space="preserve"> de la </w:t>
                  </w:r>
                  <w:hyperlink r:id="rId5" w:tgtFrame="_blank" w:history="1">
                    <w:r w:rsidR="000473F7">
                      <w:rPr>
                        <w:rFonts w:ascii="Open Sans" w:eastAsia="Times New Roman" w:hAnsi="Open Sans" w:cs="Open Sans"/>
                        <w:color w:val="7C8F9C"/>
                        <w:sz w:val="20"/>
                        <w:szCs w:val="20"/>
                        <w:u w:val="single"/>
                        <w:lang w:eastAsia="es-ES"/>
                      </w:rPr>
                      <w:t>Ventana ADELANTE</w:t>
                    </w:r>
                  </w:hyperlink>
                  <w:r w:rsidR="000473F7" w:rsidRPr="00494AB0">
                    <w:rPr>
                      <w:rFonts w:ascii="Open Sans" w:eastAsia="Times New Roman" w:hAnsi="Open Sans" w:cs="Open Sans"/>
                      <w:color w:val="7C8F9C"/>
                      <w:sz w:val="20"/>
                      <w:szCs w:val="20"/>
                      <w:lang w:eastAsia="es-ES"/>
                    </w:rPr>
                    <w:t>,</w:t>
                  </w:r>
                  <w:r w:rsidR="000473F7">
                    <w:rPr>
                      <w:rFonts w:ascii="Open Sans" w:eastAsia="Times New Roman" w:hAnsi="Open Sans" w:cs="Open Sans"/>
                      <w:color w:val="7C8F9C"/>
                      <w:sz w:val="20"/>
                      <w:szCs w:val="20"/>
                      <w:lang w:eastAsia="es-ES"/>
                    </w:rPr>
                    <w:t xml:space="preserve"> </w:t>
                  </w:r>
                  <w:r w:rsidRPr="00494AB0">
                    <w:rPr>
                      <w:rFonts w:ascii="Open Sans" w:eastAsia="Times New Roman" w:hAnsi="Open Sans" w:cs="Open Sans"/>
                      <w:color w:val="7C8F9C"/>
                      <w:sz w:val="20"/>
                      <w:szCs w:val="20"/>
                      <w:lang w:eastAsia="es-ES"/>
                    </w:rPr>
                    <w:t xml:space="preserve">desde la Unión Europea se mantiene el compromiso con la Cooperación Triangular entre Europa y América Latina y el </w:t>
                  </w:r>
                  <w:r w:rsidR="000473F7" w:rsidRPr="00494AB0">
                    <w:rPr>
                      <w:rFonts w:ascii="Open Sans" w:eastAsia="Times New Roman" w:hAnsi="Open Sans" w:cs="Open Sans"/>
                      <w:color w:val="7C8F9C"/>
                      <w:sz w:val="20"/>
                      <w:szCs w:val="20"/>
                      <w:lang w:eastAsia="es-ES"/>
                    </w:rPr>
                    <w:t>Caribe</w:t>
                  </w:r>
                  <w:r w:rsidR="000473F7">
                    <w:rPr>
                      <w:rFonts w:ascii="Open Sans" w:eastAsia="Times New Roman" w:hAnsi="Open Sans" w:cs="Open Sans"/>
                      <w:color w:val="7C8F9C"/>
                      <w:sz w:val="20"/>
                      <w:szCs w:val="20"/>
                      <w:lang w:eastAsia="es-ES"/>
                    </w:rPr>
                    <w:t xml:space="preserve"> </w:t>
                  </w:r>
                  <w:r w:rsidRPr="00494AB0">
                    <w:rPr>
                      <w:rFonts w:ascii="Open Sans" w:eastAsia="Times New Roman" w:hAnsi="Open Sans" w:cs="Open Sans"/>
                      <w:color w:val="7C8F9C"/>
                      <w:sz w:val="20"/>
                      <w:szCs w:val="20"/>
                      <w:lang w:eastAsia="es-ES"/>
                    </w:rPr>
                    <w:t>y se abre esta nueva oportunidad para que las Alianzas de Cooperación Triangular puedan presentar Iniciativas para la cofinanciación a través de la Ventana ADELANTE.</w:t>
                  </w:r>
                </w:p>
                <w:p w14:paraId="6F0393C5" w14:textId="4D1ABC65" w:rsidR="00494AB0" w:rsidRPr="00494AB0" w:rsidRDefault="00494AB0" w:rsidP="0099394B">
                  <w:pPr>
                    <w:shd w:val="clear" w:color="auto" w:fill="FFFFFF"/>
                    <w:spacing w:before="120" w:line="300" w:lineRule="atLeast"/>
                    <w:jc w:val="both"/>
                    <w:rPr>
                      <w:rFonts w:ascii="Open Sans" w:eastAsia="Times New Roman" w:hAnsi="Open Sans" w:cs="Open Sans"/>
                      <w:color w:val="7C8F9C"/>
                      <w:sz w:val="20"/>
                      <w:szCs w:val="20"/>
                      <w:lang w:eastAsia="es-ES"/>
                    </w:rPr>
                  </w:pPr>
                  <w:r w:rsidRPr="00494AB0">
                    <w:rPr>
                      <w:rFonts w:ascii="Open Sans" w:eastAsia="Times New Roman" w:hAnsi="Open Sans" w:cs="Open Sans"/>
                      <w:color w:val="7C8F9C"/>
                      <w:sz w:val="20"/>
                      <w:szCs w:val="20"/>
                      <w:lang w:eastAsia="es-ES"/>
                    </w:rPr>
                    <w:t xml:space="preserve">Como principales novedades con relación a la edición anterior, destaca la </w:t>
                  </w:r>
                  <w:r w:rsidRPr="00494AB0">
                    <w:rPr>
                      <w:rFonts w:ascii="Open Sans" w:eastAsia="Times New Roman" w:hAnsi="Open Sans" w:cs="Open Sans"/>
                      <w:b/>
                      <w:bCs/>
                      <w:color w:val="7C8F9C"/>
                      <w:sz w:val="20"/>
                      <w:szCs w:val="20"/>
                      <w:lang w:eastAsia="es-ES"/>
                    </w:rPr>
                    <w:t xml:space="preserve">posibilidad de extender el periodo de ejecución de las </w:t>
                  </w:r>
                  <w:r w:rsidR="000473F7" w:rsidRPr="00494AB0">
                    <w:rPr>
                      <w:rFonts w:ascii="Open Sans" w:eastAsia="Times New Roman" w:hAnsi="Open Sans" w:cs="Open Sans"/>
                      <w:b/>
                      <w:bCs/>
                      <w:color w:val="7C8F9C"/>
                      <w:sz w:val="20"/>
                      <w:szCs w:val="20"/>
                      <w:lang w:eastAsia="es-ES"/>
                    </w:rPr>
                    <w:t>Iniciativas</w:t>
                  </w:r>
                  <w:r w:rsidR="000473F7">
                    <w:rPr>
                      <w:rFonts w:ascii="Open Sans" w:eastAsia="Times New Roman" w:hAnsi="Open Sans" w:cs="Open Sans"/>
                      <w:b/>
                      <w:bCs/>
                      <w:color w:val="7C8F9C"/>
                      <w:sz w:val="20"/>
                      <w:szCs w:val="20"/>
                      <w:lang w:eastAsia="es-ES"/>
                    </w:rPr>
                    <w:t xml:space="preserve"> </w:t>
                  </w:r>
                  <w:r w:rsidRPr="00494AB0">
                    <w:rPr>
                      <w:rFonts w:ascii="Open Sans" w:eastAsia="Times New Roman" w:hAnsi="Open Sans" w:cs="Open Sans"/>
                      <w:b/>
                      <w:bCs/>
                      <w:color w:val="7C8F9C"/>
                      <w:sz w:val="20"/>
                      <w:szCs w:val="20"/>
                      <w:lang w:eastAsia="es-ES"/>
                    </w:rPr>
                    <w:t xml:space="preserve">hasta los </w:t>
                  </w:r>
                  <w:r w:rsidR="00822A45">
                    <w:rPr>
                      <w:rFonts w:ascii="Open Sans" w:eastAsia="Times New Roman" w:hAnsi="Open Sans" w:cs="Open Sans"/>
                      <w:b/>
                      <w:bCs/>
                      <w:color w:val="7C8F9C"/>
                      <w:sz w:val="20"/>
                      <w:szCs w:val="20"/>
                      <w:lang w:eastAsia="es-ES"/>
                    </w:rPr>
                    <w:t>150 días</w:t>
                  </w:r>
                  <w:r w:rsidR="000473F7">
                    <w:rPr>
                      <w:rFonts w:ascii="Open Sans" w:eastAsia="Times New Roman" w:hAnsi="Open Sans" w:cs="Open Sans"/>
                      <w:b/>
                      <w:bCs/>
                      <w:color w:val="7C8F9C"/>
                      <w:sz w:val="20"/>
                      <w:szCs w:val="20"/>
                      <w:lang w:eastAsia="es-ES"/>
                    </w:rPr>
                    <w:t xml:space="preserve"> </w:t>
                  </w:r>
                  <w:r w:rsidRPr="00494AB0">
                    <w:rPr>
                      <w:rFonts w:ascii="Open Sans" w:eastAsia="Times New Roman" w:hAnsi="Open Sans" w:cs="Open Sans"/>
                      <w:b/>
                      <w:bCs/>
                      <w:color w:val="7C8F9C"/>
                      <w:sz w:val="20"/>
                      <w:szCs w:val="20"/>
                      <w:lang w:eastAsia="es-ES"/>
                    </w:rPr>
                    <w:t xml:space="preserve">y de solicitar financiación por parte de la Ventana </w:t>
                  </w:r>
                  <w:r w:rsidR="000473F7" w:rsidRPr="00494AB0">
                    <w:rPr>
                      <w:rFonts w:ascii="Open Sans" w:eastAsia="Times New Roman" w:hAnsi="Open Sans" w:cs="Open Sans"/>
                      <w:b/>
                      <w:bCs/>
                      <w:color w:val="7C8F9C"/>
                      <w:sz w:val="20"/>
                      <w:szCs w:val="20"/>
                      <w:lang w:eastAsia="es-ES"/>
                    </w:rPr>
                    <w:t>ADELANTE</w:t>
                  </w:r>
                  <w:r w:rsidR="000473F7">
                    <w:rPr>
                      <w:rFonts w:ascii="Open Sans" w:eastAsia="Times New Roman" w:hAnsi="Open Sans" w:cs="Open Sans"/>
                      <w:b/>
                      <w:bCs/>
                      <w:color w:val="7C8F9C"/>
                      <w:sz w:val="20"/>
                      <w:szCs w:val="20"/>
                      <w:lang w:eastAsia="es-ES"/>
                    </w:rPr>
                    <w:t xml:space="preserve"> </w:t>
                  </w:r>
                  <w:r w:rsidRPr="00494AB0">
                    <w:rPr>
                      <w:rFonts w:ascii="Open Sans" w:eastAsia="Times New Roman" w:hAnsi="Open Sans" w:cs="Open Sans"/>
                      <w:b/>
                      <w:bCs/>
                      <w:color w:val="7C8F9C"/>
                      <w:sz w:val="20"/>
                      <w:szCs w:val="20"/>
                      <w:lang w:eastAsia="es-ES"/>
                    </w:rPr>
                    <w:t xml:space="preserve">hasta los </w:t>
                  </w:r>
                  <w:r w:rsidR="00822A45">
                    <w:rPr>
                      <w:rFonts w:ascii="Open Sans" w:eastAsia="Times New Roman" w:hAnsi="Open Sans" w:cs="Open Sans"/>
                      <w:b/>
                      <w:bCs/>
                      <w:color w:val="7C8F9C"/>
                      <w:sz w:val="20"/>
                      <w:szCs w:val="20"/>
                      <w:lang w:eastAsia="es-ES"/>
                    </w:rPr>
                    <w:t>150</w:t>
                  </w:r>
                  <w:r w:rsidRPr="00494AB0">
                    <w:rPr>
                      <w:rFonts w:ascii="Open Sans" w:eastAsia="Times New Roman" w:hAnsi="Open Sans" w:cs="Open Sans"/>
                      <w:b/>
                      <w:bCs/>
                      <w:color w:val="7C8F9C"/>
                      <w:sz w:val="20"/>
                      <w:szCs w:val="20"/>
                      <w:lang w:eastAsia="es-ES"/>
                    </w:rPr>
                    <w:t>.000 euros</w:t>
                  </w:r>
                  <w:r w:rsidRPr="00494AB0">
                    <w:rPr>
                      <w:rFonts w:ascii="Open Sans" w:eastAsia="Times New Roman" w:hAnsi="Open Sans" w:cs="Open Sans"/>
                      <w:color w:val="7C8F9C"/>
                      <w:sz w:val="20"/>
                      <w:szCs w:val="20"/>
                      <w:lang w:eastAsia="es-ES"/>
                    </w:rPr>
                    <w:t>, manteniéndose en todo caso la necesidad de cofinanciación por parte de la Alianza por al menos un 25% del presupuesto total.</w:t>
                  </w:r>
                </w:p>
                <w:p w14:paraId="7748D9F5" w14:textId="70AC0131" w:rsidR="00494AB0" w:rsidRPr="00494AB0" w:rsidRDefault="00494AB0" w:rsidP="0099394B">
                  <w:pPr>
                    <w:shd w:val="clear" w:color="auto" w:fill="FFFFFF"/>
                    <w:spacing w:before="120" w:line="300" w:lineRule="atLeast"/>
                    <w:jc w:val="both"/>
                    <w:rPr>
                      <w:rFonts w:ascii="Open Sans" w:eastAsia="Times New Roman" w:hAnsi="Open Sans" w:cs="Open Sans"/>
                      <w:color w:val="7C8F9C"/>
                      <w:sz w:val="20"/>
                      <w:szCs w:val="20"/>
                      <w:lang w:eastAsia="es-ES"/>
                    </w:rPr>
                  </w:pPr>
                  <w:r w:rsidRPr="00494AB0">
                    <w:rPr>
                      <w:rFonts w:ascii="Open Sans" w:eastAsia="Times New Roman" w:hAnsi="Open Sans" w:cs="Open Sans"/>
                      <w:color w:val="7C8F9C"/>
                      <w:sz w:val="20"/>
                      <w:szCs w:val="20"/>
                      <w:lang w:eastAsia="es-ES"/>
                    </w:rPr>
                    <w:t xml:space="preserve">En </w:t>
                  </w:r>
                  <w:r w:rsidR="000473F7" w:rsidRPr="00494AB0">
                    <w:rPr>
                      <w:rFonts w:ascii="Open Sans" w:eastAsia="Times New Roman" w:hAnsi="Open Sans" w:cs="Open Sans"/>
                      <w:color w:val="7C8F9C"/>
                      <w:sz w:val="20"/>
                      <w:szCs w:val="20"/>
                      <w:lang w:eastAsia="es-ES"/>
                    </w:rPr>
                    <w:t>la</w:t>
                  </w:r>
                  <w:r w:rsidR="000473F7">
                    <w:rPr>
                      <w:rFonts w:ascii="Open Sans" w:eastAsia="Times New Roman" w:hAnsi="Open Sans" w:cs="Open Sans"/>
                      <w:color w:val="7C8F9C"/>
                      <w:sz w:val="20"/>
                      <w:szCs w:val="20"/>
                      <w:lang w:eastAsia="es-ES"/>
                    </w:rPr>
                    <w:t xml:space="preserve"> </w:t>
                  </w:r>
                  <w:hyperlink r:id="rId6" w:tgtFrame="_blank" w:history="1">
                    <w:r w:rsidR="000473F7" w:rsidRPr="00494AB0">
                      <w:rPr>
                        <w:rFonts w:ascii="Open Sans" w:eastAsia="Times New Roman" w:hAnsi="Open Sans" w:cs="Open Sans"/>
                        <w:color w:val="7C8F9C"/>
                        <w:sz w:val="20"/>
                        <w:szCs w:val="20"/>
                        <w:u w:val="single"/>
                        <w:lang w:eastAsia="es-ES"/>
                      </w:rPr>
                      <w:t>página de entrada de la Extranet ADELANTE</w:t>
                    </w:r>
                  </w:hyperlink>
                  <w:r w:rsidR="000473F7">
                    <w:rPr>
                      <w:rFonts w:ascii="Open Sans" w:eastAsia="Times New Roman" w:hAnsi="Open Sans" w:cs="Open Sans"/>
                      <w:color w:val="7C8F9C"/>
                      <w:sz w:val="20"/>
                      <w:szCs w:val="20"/>
                      <w:lang w:eastAsia="es-ES"/>
                    </w:rPr>
                    <w:t xml:space="preserve"> </w:t>
                  </w:r>
                  <w:r w:rsidRPr="00494AB0">
                    <w:rPr>
                      <w:rFonts w:ascii="Open Sans" w:eastAsia="Times New Roman" w:hAnsi="Open Sans" w:cs="Open Sans"/>
                      <w:color w:val="7C8F9C"/>
                      <w:sz w:val="20"/>
                      <w:szCs w:val="20"/>
                      <w:lang w:eastAsia="es-ES"/>
                    </w:rPr>
                    <w:t xml:space="preserve">están disponibles, para consulta y para descarga, la ‘Guía para solicitantes de la Ventana ADELANTE. Versión 2 - marzo 2022’ y las ‘Normas particulares de la Ventana ADELANTE </w:t>
                  </w:r>
                  <w:r w:rsidR="00822A45" w:rsidRPr="00494AB0">
                    <w:rPr>
                      <w:rFonts w:ascii="Open Sans" w:eastAsia="Times New Roman" w:hAnsi="Open Sans" w:cs="Open Sans"/>
                      <w:color w:val="7C8F9C"/>
                      <w:sz w:val="20"/>
                      <w:szCs w:val="20"/>
                      <w:lang w:eastAsia="es-ES"/>
                    </w:rPr>
                    <w:t>202</w:t>
                  </w:r>
                  <w:r w:rsidR="00822A45">
                    <w:rPr>
                      <w:rFonts w:ascii="Open Sans" w:eastAsia="Times New Roman" w:hAnsi="Open Sans" w:cs="Open Sans"/>
                      <w:color w:val="7C8F9C"/>
                      <w:sz w:val="20"/>
                      <w:szCs w:val="20"/>
                      <w:lang w:eastAsia="es-ES"/>
                    </w:rPr>
                    <w:t>4</w:t>
                  </w:r>
                  <w:r w:rsidR="00822A45" w:rsidRPr="00494AB0">
                    <w:rPr>
                      <w:rFonts w:ascii="Open Sans" w:eastAsia="Times New Roman" w:hAnsi="Open Sans" w:cs="Open Sans"/>
                      <w:color w:val="7C8F9C"/>
                      <w:sz w:val="20"/>
                      <w:szCs w:val="20"/>
                      <w:lang w:eastAsia="es-ES"/>
                    </w:rPr>
                    <w:t>’</w:t>
                  </w:r>
                  <w:r w:rsidRPr="00494AB0">
                    <w:rPr>
                      <w:rFonts w:ascii="Open Sans" w:eastAsia="Times New Roman" w:hAnsi="Open Sans" w:cs="Open Sans"/>
                      <w:color w:val="7C8F9C"/>
                      <w:sz w:val="20"/>
                      <w:szCs w:val="20"/>
                      <w:lang w:eastAsia="es-ES"/>
                    </w:rPr>
                    <w:t>. Tras el registro en la Extranet ADELANTE, en la sección ‘Documentos de referencia’ están disponibles materiales adicionales para facilitar la formulación de las Iniciativas.</w:t>
                  </w:r>
                </w:p>
                <w:p w14:paraId="7F327070" w14:textId="5B679288" w:rsidR="008A6140" w:rsidRPr="00C059D1" w:rsidRDefault="00494AB0" w:rsidP="0099394B">
                  <w:pPr>
                    <w:shd w:val="clear" w:color="auto" w:fill="FFFFFF"/>
                    <w:spacing w:before="120" w:line="300" w:lineRule="atLeast"/>
                    <w:jc w:val="both"/>
                    <w:rPr>
                      <w:sz w:val="20"/>
                      <w:szCs w:val="20"/>
                    </w:rPr>
                  </w:pPr>
                  <w:r w:rsidRPr="00494AB0">
                    <w:rPr>
                      <w:rFonts w:ascii="Open Sans" w:eastAsia="Times New Roman" w:hAnsi="Open Sans" w:cs="Open Sans"/>
                      <w:b/>
                      <w:bCs/>
                      <w:color w:val="17ABCD"/>
                      <w:sz w:val="20"/>
                      <w:szCs w:val="20"/>
                      <w:lang w:eastAsia="es-ES"/>
                    </w:rPr>
                    <w:t xml:space="preserve">La Cooperación </w:t>
                  </w:r>
                  <w:r w:rsidR="000473F7" w:rsidRPr="00494AB0">
                    <w:rPr>
                      <w:rFonts w:ascii="Open Sans" w:eastAsia="Times New Roman" w:hAnsi="Open Sans" w:cs="Open Sans"/>
                      <w:b/>
                      <w:bCs/>
                      <w:color w:val="17ABCD"/>
                      <w:sz w:val="20"/>
                      <w:szCs w:val="20"/>
                      <w:lang w:eastAsia="es-ES"/>
                    </w:rPr>
                    <w:t>Triangular</w:t>
                  </w:r>
                  <w:r w:rsidR="000473F7">
                    <w:rPr>
                      <w:rFonts w:ascii="Open Sans" w:eastAsia="Times New Roman" w:hAnsi="Open Sans" w:cs="Open Sans"/>
                      <w:b/>
                      <w:bCs/>
                      <w:color w:val="17ABCD"/>
                      <w:sz w:val="20"/>
                      <w:szCs w:val="20"/>
                      <w:lang w:eastAsia="es-ES"/>
                    </w:rPr>
                    <w:t xml:space="preserve"> </w:t>
                  </w:r>
                  <w:r w:rsidRPr="00494AB0">
                    <w:rPr>
                      <w:rFonts w:ascii="Open Sans" w:eastAsia="Times New Roman" w:hAnsi="Open Sans" w:cs="Open Sans"/>
                      <w:color w:val="7C8F9C"/>
                      <w:sz w:val="20"/>
                      <w:szCs w:val="20"/>
                      <w:lang w:eastAsia="es-ES"/>
                    </w:rPr>
                    <w:t>es una modalidad horizontal y focalizada en las alianzas, en la que los conocimientos y las experiencias complementarios de los distintos socios, así como sus recursos, son aprovechados para crear de forma conjunta soluciones con el fin de responder a retos del desarrollo que tengan como fin último el logro de la Agenda 2030 y un desarrollo más inclusivo y sostenible.</w:t>
                  </w:r>
                  <w:r w:rsidR="0099394B">
                    <w:rPr>
                      <w:rFonts w:ascii="Open Sans" w:eastAsia="Times New Roman" w:hAnsi="Open Sans" w:cs="Open Sans"/>
                      <w:color w:val="7C8F9C"/>
                      <w:sz w:val="20"/>
                      <w:szCs w:val="20"/>
                      <w:lang w:eastAsia="es-ES"/>
                    </w:rPr>
                    <w:t xml:space="preserve"> </w:t>
                  </w:r>
                  <w:r w:rsidRPr="00494AB0">
                    <w:rPr>
                      <w:rFonts w:ascii="Open Sans" w:eastAsia="Times New Roman" w:hAnsi="Open Sans" w:cs="Open Sans"/>
                      <w:b/>
                      <w:bCs/>
                      <w:color w:val="17ABCD"/>
                      <w:sz w:val="20"/>
                      <w:szCs w:val="20"/>
                      <w:lang w:eastAsia="es-ES"/>
                    </w:rPr>
                    <w:t xml:space="preserve">Las Alianzas de Cooperación </w:t>
                  </w:r>
                  <w:r w:rsidR="000473F7" w:rsidRPr="00494AB0">
                    <w:rPr>
                      <w:rFonts w:ascii="Open Sans" w:eastAsia="Times New Roman" w:hAnsi="Open Sans" w:cs="Open Sans"/>
                      <w:b/>
                      <w:bCs/>
                      <w:color w:val="17ABCD"/>
                      <w:sz w:val="20"/>
                      <w:szCs w:val="20"/>
                      <w:lang w:eastAsia="es-ES"/>
                    </w:rPr>
                    <w:t>Triangular</w:t>
                  </w:r>
                  <w:r w:rsidR="000473F7">
                    <w:rPr>
                      <w:rFonts w:ascii="Open Sans" w:eastAsia="Times New Roman" w:hAnsi="Open Sans" w:cs="Open Sans"/>
                      <w:color w:val="7C8F9C"/>
                      <w:sz w:val="20"/>
                      <w:szCs w:val="20"/>
                      <w:lang w:eastAsia="es-ES"/>
                    </w:rPr>
                    <w:t xml:space="preserve"> </w:t>
                  </w:r>
                  <w:r w:rsidRPr="00494AB0">
                    <w:rPr>
                      <w:rFonts w:ascii="Open Sans" w:eastAsia="Times New Roman" w:hAnsi="Open Sans" w:cs="Open Sans"/>
                      <w:color w:val="7C8F9C"/>
                      <w:sz w:val="20"/>
                      <w:szCs w:val="20"/>
                      <w:lang w:eastAsia="es-ES"/>
                    </w:rPr>
                    <w:t xml:space="preserve">son alianzas conformadas por entidades europeas y latinoamericanas y/o caribeñas en las que </w:t>
                  </w:r>
                  <w:proofErr w:type="gramStart"/>
                  <w:r w:rsidRPr="00494AB0">
                    <w:rPr>
                      <w:rFonts w:ascii="Open Sans" w:eastAsia="Times New Roman" w:hAnsi="Open Sans" w:cs="Open Sans"/>
                      <w:color w:val="7C8F9C"/>
                      <w:sz w:val="20"/>
                      <w:szCs w:val="20"/>
                      <w:lang w:eastAsia="es-ES"/>
                    </w:rPr>
                    <w:t>cada una cumple</w:t>
                  </w:r>
                  <w:proofErr w:type="gramEnd"/>
                  <w:r w:rsidRPr="00494AB0">
                    <w:rPr>
                      <w:rFonts w:ascii="Open Sans" w:eastAsia="Times New Roman" w:hAnsi="Open Sans" w:cs="Open Sans"/>
                      <w:color w:val="7C8F9C"/>
                      <w:sz w:val="20"/>
                      <w:szCs w:val="20"/>
                      <w:lang w:eastAsia="es-ES"/>
                    </w:rPr>
                    <w:t xml:space="preserve"> uno de los roles propios de la Cooperación Triangular (Beneficiario, Primer oferente y Segundo oferente) con el fin de aprovechar al máximo las potencialidades de esta modalidad para responder a los retos del desarrollo.</w:t>
                  </w:r>
                  <w:r w:rsidR="0099394B">
                    <w:rPr>
                      <w:rFonts w:ascii="Open Sans" w:eastAsia="Times New Roman" w:hAnsi="Open Sans" w:cs="Open Sans"/>
                      <w:color w:val="7C8F9C"/>
                      <w:sz w:val="20"/>
                      <w:szCs w:val="20"/>
                      <w:lang w:eastAsia="es-ES"/>
                    </w:rPr>
                    <w:t xml:space="preserve"> </w:t>
                  </w:r>
                  <w:r w:rsidRPr="00494AB0">
                    <w:rPr>
                      <w:rFonts w:ascii="Open Sans" w:eastAsia="Times New Roman" w:hAnsi="Open Sans" w:cs="Open Sans"/>
                      <w:b/>
                      <w:bCs/>
                      <w:color w:val="17ABCD"/>
                      <w:sz w:val="20"/>
                      <w:szCs w:val="20"/>
                      <w:lang w:eastAsia="es-ES"/>
                    </w:rPr>
                    <w:t xml:space="preserve">Las Iniciativas de Cooperación </w:t>
                  </w:r>
                  <w:r w:rsidR="000473F7" w:rsidRPr="00494AB0">
                    <w:rPr>
                      <w:rFonts w:ascii="Open Sans" w:eastAsia="Times New Roman" w:hAnsi="Open Sans" w:cs="Open Sans"/>
                      <w:b/>
                      <w:bCs/>
                      <w:color w:val="17ABCD"/>
                      <w:sz w:val="20"/>
                      <w:szCs w:val="20"/>
                      <w:lang w:eastAsia="es-ES"/>
                    </w:rPr>
                    <w:t>Triangular</w:t>
                  </w:r>
                  <w:r w:rsidR="000473F7">
                    <w:rPr>
                      <w:rFonts w:ascii="Open Sans" w:eastAsia="Times New Roman" w:hAnsi="Open Sans" w:cs="Open Sans"/>
                      <w:color w:val="7C8F9C"/>
                      <w:sz w:val="20"/>
                      <w:szCs w:val="20"/>
                      <w:lang w:eastAsia="es-ES"/>
                    </w:rPr>
                    <w:t xml:space="preserve"> </w:t>
                  </w:r>
                  <w:r w:rsidRPr="00494AB0">
                    <w:rPr>
                      <w:rFonts w:ascii="Open Sans" w:eastAsia="Times New Roman" w:hAnsi="Open Sans" w:cs="Open Sans"/>
                      <w:color w:val="7C8F9C"/>
                      <w:sz w:val="20"/>
                      <w:szCs w:val="20"/>
                      <w:lang w:eastAsia="es-ES"/>
                    </w:rPr>
                    <w:t>responden a la lógica de aprovechar el conocimiento y la experiencia de las entidades integrantes de la Alianza con el fin de generar un conocimiento nuevo que pueda ser aplicado para responder de forma eficaz a un reto de desarrollo. Idealmente, ese conocimiento nuevo queda recogido y sistematizado en modelos o prototipos que facilitan su aplicación, máxime cuando han tenido lugar experiencias piloto, o similares. Esta lógica genera, por sí misma, un fortalecimiento de las capacidades de las entidades y de la propia Alianza, que es uno de los primeros elementos de valor añadido de la Cooperación Triangular, además de favorecer la generación de redes especializadas con un alcance mayor al de la propia Alianza.</w:t>
                  </w:r>
                </w:p>
              </w:tc>
            </w:tr>
          </w:tbl>
          <w:p w14:paraId="09BBAE72" w14:textId="77777777" w:rsidR="008A6140" w:rsidRPr="00C059D1" w:rsidRDefault="008A6140" w:rsidP="0099394B">
            <w:pPr>
              <w:spacing w:before="120"/>
              <w:rPr>
                <w:sz w:val="20"/>
                <w:szCs w:val="20"/>
              </w:rPr>
            </w:pPr>
          </w:p>
        </w:tc>
      </w:tr>
    </w:tbl>
    <w:p w14:paraId="023366A0" w14:textId="77777777" w:rsidR="0099394B" w:rsidRPr="0099394B" w:rsidRDefault="00CF083E" w:rsidP="00494AB0">
      <w:pPr>
        <w:spacing w:before="120"/>
        <w:jc w:val="center"/>
        <w:rPr>
          <w:rStyle w:val="Hyperlink"/>
          <w:b/>
          <w:sz w:val="36"/>
          <w:szCs w:val="36"/>
          <w:lang w:val="en-GB"/>
        </w:rPr>
      </w:pPr>
      <w:hyperlink r:id="rId7" w:history="1">
        <w:r w:rsidR="0099394B" w:rsidRPr="0099394B">
          <w:rPr>
            <w:rStyle w:val="Hyperlink"/>
            <w:b/>
            <w:sz w:val="36"/>
            <w:szCs w:val="36"/>
            <w:lang w:val="en-GB"/>
          </w:rPr>
          <w:t>http://www.adelante2.eu</w:t>
        </w:r>
      </w:hyperlink>
      <w:r w:rsidR="0099394B" w:rsidRPr="0099394B">
        <w:rPr>
          <w:rStyle w:val="Hyperlink"/>
          <w:b/>
          <w:sz w:val="36"/>
          <w:szCs w:val="36"/>
          <w:lang w:val="en-GB"/>
        </w:rPr>
        <w:t xml:space="preserve"> </w:t>
      </w:r>
    </w:p>
    <w:p w14:paraId="6F8ECB3E" w14:textId="55A74B8D" w:rsidR="008A6140" w:rsidRPr="0099394B" w:rsidRDefault="0099394B" w:rsidP="00494AB0">
      <w:pPr>
        <w:spacing w:before="120"/>
        <w:jc w:val="center"/>
        <w:rPr>
          <w:lang w:val="en-GB"/>
        </w:rPr>
      </w:pPr>
      <w:r w:rsidRPr="0099394B">
        <w:rPr>
          <w:lang w:val="en-GB"/>
        </w:rPr>
        <w:t>H</w:t>
      </w:r>
      <w:r w:rsidR="008A6140" w:rsidRPr="0099394B">
        <w:rPr>
          <w:lang w:val="en-GB"/>
        </w:rPr>
        <w:t xml:space="preserve">ashtag: </w:t>
      </w:r>
      <w:r w:rsidR="008A6140" w:rsidRPr="0099394B">
        <w:rPr>
          <w:b/>
          <w:lang w:val="en-GB"/>
        </w:rPr>
        <w:t>#CooperacionTriangular</w:t>
      </w:r>
      <w:r w:rsidR="008A6140" w:rsidRPr="0099394B">
        <w:rPr>
          <w:lang w:val="en-GB"/>
        </w:rPr>
        <w:t xml:space="preserve"> </w:t>
      </w:r>
      <w:r w:rsidR="002300D3" w:rsidRPr="0099394B">
        <w:rPr>
          <w:lang w:val="en-GB"/>
        </w:rPr>
        <w:t>|</w:t>
      </w:r>
      <w:r w:rsidR="008A6140" w:rsidRPr="0099394B">
        <w:rPr>
          <w:lang w:val="en-GB"/>
        </w:rPr>
        <w:t xml:space="preserve">Facebook: </w:t>
      </w:r>
      <w:hyperlink r:id="rId8" w:history="1">
        <w:r w:rsidR="008A6140" w:rsidRPr="0099394B">
          <w:rPr>
            <w:rStyle w:val="Hyperlink"/>
            <w:b/>
            <w:lang w:val="en-GB"/>
          </w:rPr>
          <w:t>@ADELANTE.UE.ALC</w:t>
        </w:r>
      </w:hyperlink>
      <w:r w:rsidR="008A6140" w:rsidRPr="0099394B">
        <w:rPr>
          <w:lang w:val="en-GB"/>
        </w:rPr>
        <w:t xml:space="preserve"> </w:t>
      </w:r>
      <w:bookmarkStart w:id="1" w:name="_Hlk100300928"/>
      <w:r w:rsidR="008A6140" w:rsidRPr="0099394B">
        <w:rPr>
          <w:lang w:val="en-GB"/>
        </w:rPr>
        <w:t>|</w:t>
      </w:r>
      <w:bookmarkEnd w:id="1"/>
      <w:r w:rsidR="008A6140" w:rsidRPr="0099394B">
        <w:rPr>
          <w:lang w:val="en-GB"/>
        </w:rPr>
        <w:t xml:space="preserve"> Twitter: </w:t>
      </w:r>
      <w:hyperlink r:id="rId9" w:history="1">
        <w:r w:rsidR="008A6140" w:rsidRPr="0099394B">
          <w:rPr>
            <w:rStyle w:val="Hyperlink"/>
            <w:b/>
            <w:lang w:val="en-GB"/>
          </w:rPr>
          <w:t>@ADELANTE-UE-ALC</w:t>
        </w:r>
      </w:hyperlink>
      <w:r w:rsidR="008A6140" w:rsidRPr="0099394B">
        <w:rPr>
          <w:lang w:val="en-GB"/>
        </w:rPr>
        <w:t xml:space="preserve"> | </w:t>
      </w:r>
    </w:p>
    <w:p w14:paraId="2F9D8904" w14:textId="2686FB9E" w:rsidR="00EA741D" w:rsidRDefault="0099394B" w:rsidP="004E3310">
      <w:pPr>
        <w:spacing w:before="120"/>
        <w:jc w:val="center"/>
      </w:pPr>
      <w:r w:rsidRPr="0099394B">
        <w:rPr>
          <w:b/>
        </w:rPr>
        <w:t xml:space="preserve">INFO: </w:t>
      </w:r>
      <w:r w:rsidR="000473F7">
        <w:t>Livia Galita</w:t>
      </w:r>
      <w:r w:rsidRPr="0099394B">
        <w:t xml:space="preserve"> | Tel.: +32 229 68498 | L</w:t>
      </w:r>
      <w:r w:rsidR="000473F7">
        <w:t>ivia.Galita</w:t>
      </w:r>
      <w:r w:rsidRPr="0099394B">
        <w:t>@ec.europa.eu</w:t>
      </w:r>
    </w:p>
    <w:sectPr w:rsidR="00EA741D" w:rsidSect="00CC646D">
      <w:pgSz w:w="12240" w:h="15840"/>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140"/>
    <w:rsid w:val="000157F4"/>
    <w:rsid w:val="000473F7"/>
    <w:rsid w:val="00081B3E"/>
    <w:rsid w:val="002300D3"/>
    <w:rsid w:val="00494AB0"/>
    <w:rsid w:val="004E3310"/>
    <w:rsid w:val="004F12CC"/>
    <w:rsid w:val="00514883"/>
    <w:rsid w:val="005A59E7"/>
    <w:rsid w:val="00762C93"/>
    <w:rsid w:val="007D48F7"/>
    <w:rsid w:val="00822A45"/>
    <w:rsid w:val="008634A9"/>
    <w:rsid w:val="008A6140"/>
    <w:rsid w:val="008C4CE9"/>
    <w:rsid w:val="0099394B"/>
    <w:rsid w:val="009B34D5"/>
    <w:rsid w:val="00AF37EB"/>
    <w:rsid w:val="00C82378"/>
    <w:rsid w:val="00CF083E"/>
    <w:rsid w:val="00E73660"/>
    <w:rsid w:val="00EA741D"/>
    <w:rsid w:val="00FF3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A64CB"/>
  <w14:defaultImageDpi w14:val="32767"/>
  <w15:chartTrackingRefBased/>
  <w15:docId w15:val="{9FC4D09F-94A0-B14C-A227-9507B3691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6140"/>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6140"/>
    <w:pPr>
      <w:spacing w:before="100" w:beforeAutospacing="1" w:after="100" w:afterAutospacing="1"/>
    </w:pPr>
    <w:rPr>
      <w:rFonts w:ascii="Times New Roman" w:eastAsia="Times New Roman" w:hAnsi="Times New Roman" w:cs="Times New Roman"/>
      <w:lang w:val="en-US"/>
    </w:rPr>
  </w:style>
  <w:style w:type="character" w:styleId="Hyperlink">
    <w:name w:val="Hyperlink"/>
    <w:basedOn w:val="DefaultParagraphFont"/>
    <w:uiPriority w:val="99"/>
    <w:unhideWhenUsed/>
    <w:rsid w:val="008A6140"/>
    <w:rPr>
      <w:color w:val="0563C1" w:themeColor="hyperlink"/>
      <w:u w:val="single"/>
    </w:rPr>
  </w:style>
  <w:style w:type="character" w:styleId="UnresolvedMention">
    <w:name w:val="Unresolved Mention"/>
    <w:basedOn w:val="DefaultParagraphFont"/>
    <w:uiPriority w:val="99"/>
    <w:rsid w:val="009B34D5"/>
    <w:rPr>
      <w:color w:val="605E5C"/>
      <w:shd w:val="clear" w:color="auto" w:fill="E1DFDD"/>
    </w:rPr>
  </w:style>
  <w:style w:type="paragraph" w:styleId="BalloonText">
    <w:name w:val="Balloon Text"/>
    <w:basedOn w:val="Normal"/>
    <w:link w:val="BalloonTextChar"/>
    <w:uiPriority w:val="99"/>
    <w:semiHidden/>
    <w:unhideWhenUsed/>
    <w:rsid w:val="00C8237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2378"/>
    <w:rPr>
      <w:rFonts w:ascii="Times New Roman" w:hAnsi="Times New Roman" w:cs="Times New Roman"/>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077799">
      <w:bodyDiv w:val="1"/>
      <w:marLeft w:val="0"/>
      <w:marRight w:val="0"/>
      <w:marTop w:val="0"/>
      <w:marBottom w:val="0"/>
      <w:divBdr>
        <w:top w:val="none" w:sz="0" w:space="0" w:color="auto"/>
        <w:left w:val="none" w:sz="0" w:space="0" w:color="auto"/>
        <w:bottom w:val="none" w:sz="0" w:space="0" w:color="auto"/>
        <w:right w:val="none" w:sz="0" w:space="0" w:color="auto"/>
      </w:divBdr>
      <w:divsChild>
        <w:div w:id="853689705">
          <w:marLeft w:val="0"/>
          <w:marRight w:val="0"/>
          <w:marTop w:val="450"/>
          <w:marBottom w:val="0"/>
          <w:divBdr>
            <w:top w:val="single" w:sz="6" w:space="8" w:color="5FCDE6"/>
            <w:left w:val="single" w:sz="6" w:space="15" w:color="5FCDE6"/>
            <w:bottom w:val="single" w:sz="6" w:space="8" w:color="5FCDE6"/>
            <w:right w:val="single" w:sz="6" w:space="15" w:color="5FCDE6"/>
          </w:divBdr>
        </w:div>
      </w:divsChild>
    </w:div>
    <w:div w:id="191058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DELANTE.UE.ALC" TargetMode="External"/><Relationship Id="rId3" Type="http://schemas.openxmlformats.org/officeDocument/2006/relationships/webSettings" Target="webSettings.xml"/><Relationship Id="rId7" Type="http://schemas.openxmlformats.org/officeDocument/2006/relationships/hyperlink" Target="http://www.adelante2.eu/en.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xtranet.adelante2.eu/" TargetMode="External"/><Relationship Id="rId11" Type="http://schemas.openxmlformats.org/officeDocument/2006/relationships/theme" Target="theme/theme1.xml"/><Relationship Id="rId5" Type="http://schemas.openxmlformats.org/officeDocument/2006/relationships/hyperlink" Target="https://www.adelante2.eu/es/listado-iniciativas"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twitter.com/ADELANTE_UE_AL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510</Words>
  <Characters>2908</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Hicham Boughdadi</dc:creator>
  <cp:keywords/>
  <dc:description/>
  <cp:lastModifiedBy>Hicham Boughdadi</cp:lastModifiedBy>
  <cp:revision>2</cp:revision>
  <dcterms:created xsi:type="dcterms:W3CDTF">2024-03-13T15:55:00Z</dcterms:created>
  <dcterms:modified xsi:type="dcterms:W3CDTF">2024-03-13T15:55:00Z</dcterms:modified>
</cp:coreProperties>
</file>